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F1E" w14:textId="77777777" w:rsidR="00215EF0" w:rsidRPr="00B9560B" w:rsidRDefault="00215EF0" w:rsidP="00CE423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02238" w14:textId="17AE43BD" w:rsidR="00CE399E" w:rsidRPr="00B9560B" w:rsidRDefault="00D56D6D" w:rsidP="00CE39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>ANÁLISE PROJETO DE LEI</w:t>
      </w:r>
      <w:r w:rsidR="00343A2E"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4F9B" w:rsidRPr="00B9560B">
        <w:rPr>
          <w:rFonts w:ascii="Times New Roman" w:hAnsi="Times New Roman" w:cs="Times New Roman"/>
          <w:b/>
          <w:sz w:val="24"/>
          <w:szCs w:val="24"/>
          <w:u w:val="single"/>
        </w:rPr>
        <w:t>005</w:t>
      </w:r>
      <w:r w:rsidR="00CE399E" w:rsidRPr="00B9560B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3F0E4E" w:rsidRPr="00B9560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E399E"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EXECUTIVO</w:t>
      </w:r>
    </w:p>
    <w:p w14:paraId="014D7C8A" w14:textId="77777777" w:rsidR="00CE399E" w:rsidRPr="00B9560B" w:rsidRDefault="00CE399E" w:rsidP="00CE39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E1B20" w14:textId="0FA371B9" w:rsidR="00B1482E" w:rsidRPr="00B9560B" w:rsidRDefault="00CE399E" w:rsidP="00814F9B">
      <w:pPr>
        <w:jc w:val="both"/>
        <w:rPr>
          <w:rFonts w:ascii="Times New Roman" w:hAnsi="Times New Roman" w:cs="Times New Roman"/>
          <w:sz w:val="24"/>
          <w:szCs w:val="24"/>
        </w:rPr>
      </w:pPr>
      <w:r w:rsidRPr="00B9560B">
        <w:rPr>
          <w:rFonts w:ascii="Times New Roman" w:hAnsi="Times New Roman" w:cs="Times New Roman"/>
          <w:b/>
          <w:sz w:val="24"/>
          <w:szCs w:val="24"/>
        </w:rPr>
        <w:t>1 –</w:t>
      </w:r>
      <w:r w:rsidR="00505CE8" w:rsidRPr="00B9560B">
        <w:rPr>
          <w:rFonts w:ascii="Times New Roman" w:hAnsi="Times New Roman" w:cs="Times New Roman"/>
          <w:sz w:val="24"/>
          <w:szCs w:val="24"/>
        </w:rPr>
        <w:t xml:space="preserve"> Projeto tem a finalidade</w:t>
      </w:r>
      <w:r w:rsidR="00343A2E" w:rsidRPr="00B9560B">
        <w:rPr>
          <w:rFonts w:ascii="Times New Roman" w:hAnsi="Times New Roman" w:cs="Times New Roman"/>
          <w:sz w:val="24"/>
          <w:szCs w:val="24"/>
        </w:rPr>
        <w:t xml:space="preserve"> de</w:t>
      </w:r>
      <w:r w:rsidR="00814F9B" w:rsidRPr="00B9560B">
        <w:rPr>
          <w:rFonts w:ascii="Times New Roman" w:hAnsi="Times New Roman" w:cs="Times New Roman"/>
          <w:sz w:val="24"/>
          <w:szCs w:val="24"/>
        </w:rPr>
        <w:t xml:space="preserve"> autorizar o Poder Executivo a alterar a LOA 2023 (Lei Municipal 2.265 de 16/12/2022) e a ajustar as programações estabelecidas no Plano Plurianual – 2022 a 2025 (Lei Municipal 2.202 de 10/12/2021) e a Lei de Diretrizes Orçamentárias (Lei Municipal 2.264 de 16/12/2022), para criação de dotação por SUPERAVIT financeiro no valor de </w:t>
      </w:r>
      <w:r w:rsidR="00814F9B" w:rsidRPr="00B9560B">
        <w:rPr>
          <w:rFonts w:ascii="Times New Roman" w:hAnsi="Times New Roman" w:cs="Times New Roman"/>
          <w:color w:val="000000"/>
          <w:sz w:val="24"/>
          <w:szCs w:val="24"/>
        </w:rPr>
        <w:t>R$</w:t>
      </w:r>
      <w:r w:rsidR="00814F9B" w:rsidRPr="00B956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F9B" w:rsidRPr="00B9560B">
        <w:rPr>
          <w:rFonts w:ascii="Times New Roman" w:hAnsi="Times New Roman" w:cs="Times New Roman"/>
          <w:sz w:val="24"/>
          <w:szCs w:val="24"/>
        </w:rPr>
        <w:t>1.285.255,24</w:t>
      </w:r>
      <w:r w:rsidR="00814F9B" w:rsidRPr="00B956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F9B" w:rsidRPr="00B9560B">
        <w:rPr>
          <w:rFonts w:ascii="Times New Roman" w:hAnsi="Times New Roman" w:cs="Times New Roman"/>
          <w:color w:val="000000"/>
          <w:sz w:val="24"/>
          <w:szCs w:val="24"/>
        </w:rPr>
        <w:t xml:space="preserve">(um milhão, duzentos e oitenta e cinco mil, duzentos e cinquenta e cinco reais e vinte e quatro centavos) </w:t>
      </w:r>
      <w:r w:rsidR="00814F9B" w:rsidRPr="00B9560B">
        <w:rPr>
          <w:rFonts w:ascii="Times New Roman" w:hAnsi="Times New Roman" w:cs="Times New Roman"/>
          <w:sz w:val="24"/>
          <w:szCs w:val="24"/>
        </w:rPr>
        <w:t>conforme abaixo discriminada.</w:t>
      </w:r>
    </w:p>
    <w:p w14:paraId="6FD780CF" w14:textId="1214D4A9" w:rsidR="003F0E4E" w:rsidRPr="00B9560B" w:rsidRDefault="00CE399E" w:rsidP="003F0E4E">
      <w:pPr>
        <w:pStyle w:val="Corpodetexto21"/>
        <w:ind w:left="0" w:right="-98" w:firstLine="0"/>
        <w:rPr>
          <w:rFonts w:ascii="Times New Roman" w:hAnsi="Times New Roman" w:cs="Times New Roman"/>
          <w:sz w:val="24"/>
        </w:rPr>
      </w:pPr>
      <w:r w:rsidRPr="00B9560B">
        <w:rPr>
          <w:rFonts w:ascii="Times New Roman" w:hAnsi="Times New Roman" w:cs="Times New Roman"/>
          <w:b/>
          <w:sz w:val="24"/>
        </w:rPr>
        <w:t>2 –</w:t>
      </w:r>
      <w:r w:rsidRPr="00B9560B">
        <w:rPr>
          <w:rFonts w:ascii="Times New Roman" w:hAnsi="Times New Roman" w:cs="Times New Roman"/>
          <w:sz w:val="24"/>
        </w:rPr>
        <w:t xml:space="preserve"> A justificativ</w:t>
      </w:r>
      <w:r w:rsidR="00DD344D" w:rsidRPr="00B9560B">
        <w:rPr>
          <w:rFonts w:ascii="Times New Roman" w:hAnsi="Times New Roman" w:cs="Times New Roman"/>
          <w:sz w:val="24"/>
        </w:rPr>
        <w:t>a do proje</w:t>
      </w:r>
      <w:r w:rsidR="00B1482E" w:rsidRPr="00B9560B">
        <w:rPr>
          <w:rFonts w:ascii="Times New Roman" w:hAnsi="Times New Roman" w:cs="Times New Roman"/>
          <w:sz w:val="24"/>
        </w:rPr>
        <w:t>to de lei</w:t>
      </w:r>
      <w:r w:rsidR="00814F9B" w:rsidRPr="00B9560B">
        <w:rPr>
          <w:rFonts w:ascii="Times New Roman" w:hAnsi="Times New Roman" w:cs="Times New Roman"/>
          <w:sz w:val="24"/>
        </w:rPr>
        <w:t>, está nas seguintes fontes:</w:t>
      </w:r>
    </w:p>
    <w:p w14:paraId="442F1B5B" w14:textId="5E39423B" w:rsidR="00814F9B" w:rsidRPr="00B9560B" w:rsidRDefault="00814F9B" w:rsidP="003F0E4E">
      <w:pPr>
        <w:pStyle w:val="Corpodetexto21"/>
        <w:ind w:left="0" w:right="-98" w:firstLine="0"/>
        <w:rPr>
          <w:rFonts w:ascii="Times New Roman" w:hAnsi="Times New Roman" w:cs="Times New Roman"/>
          <w:sz w:val="24"/>
        </w:rPr>
      </w:pPr>
    </w:p>
    <w:p w14:paraId="2AF89691" w14:textId="77777777" w:rsidR="00814F9B" w:rsidRPr="00B9560B" w:rsidRDefault="00814F9B" w:rsidP="00814F9B">
      <w:pPr>
        <w:jc w:val="both"/>
        <w:rPr>
          <w:rFonts w:ascii="Times New Roman" w:hAnsi="Times New Roman" w:cs="Times New Roman"/>
          <w:sz w:val="24"/>
          <w:szCs w:val="24"/>
        </w:rPr>
      </w:pPr>
      <w:r w:rsidRPr="00B9560B">
        <w:rPr>
          <w:rFonts w:ascii="Times New Roman" w:hAnsi="Times New Roman" w:cs="Times New Roman"/>
          <w:sz w:val="24"/>
          <w:szCs w:val="24"/>
        </w:rPr>
        <w:t>FONTES: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2"/>
        <w:gridCol w:w="1742"/>
      </w:tblGrid>
      <w:tr w:rsidR="00814F9B" w:rsidRPr="00B9560B" w14:paraId="2CF06A01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1DB4FCF0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409 – SESA - Resolução 775/2022 - Média complexidade Ambulatorial - MCA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5848DF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R$ 289.852,30</w:t>
            </w:r>
          </w:p>
        </w:tc>
      </w:tr>
      <w:tr w:rsidR="00814F9B" w:rsidRPr="00B9560B" w14:paraId="39293E32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1E1F7DC9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Refere-se ao repasse financeiro na forma de Incremento Temporário para os Municípios para custear as ações e os serviços públicos de saúde provenientes de Média e Alta Complexidade Ambulatorial – MCA, no apoio e diagnostico consultas, exames sendo utilizado para pagamento de despesas para atender todas as linhas de cuidado à saúde </w:t>
            </w:r>
            <w:proofErr w:type="spellStart"/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estabelecidadas</w:t>
            </w:r>
            <w:proofErr w:type="spellEnd"/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 no Plano Estadual de Saúde.</w:t>
            </w:r>
          </w:p>
        </w:tc>
      </w:tr>
      <w:tr w:rsidR="00814F9B" w:rsidRPr="00B9560B" w14:paraId="1EDEE475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7E43C426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410 – Custeio das Ações e Serviços Públicos de Saúde - Repasse Estadual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8C8EAA8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R$ 73.240,06</w:t>
            </w:r>
          </w:p>
        </w:tc>
      </w:tr>
      <w:tr w:rsidR="00814F9B" w:rsidRPr="00B9560B" w14:paraId="5C33201A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67EF2389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Refere-se ao repasse em parcela única de forma de </w:t>
            </w:r>
            <w:proofErr w:type="spellStart"/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contribução</w:t>
            </w:r>
            <w:proofErr w:type="spellEnd"/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 para os prestadores de serviços ao Sistema Único de Saúde – SUS no Estado do Paraná (Decreto nº 12888).</w:t>
            </w:r>
          </w:p>
        </w:tc>
      </w:tr>
      <w:tr w:rsidR="00814F9B" w:rsidRPr="00B9560B" w14:paraId="70C9EAEC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30635D6A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553 – Assistência Financeira Transporte Coletivo - Art. 5º, Inciso IV, EC nº 123/2022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F03686C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R$ 619.892,47</w:t>
            </w:r>
          </w:p>
        </w:tc>
      </w:tr>
      <w:tr w:rsidR="00814F9B" w:rsidRPr="00B9560B" w14:paraId="5CB67025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0D464AF6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Refere-se ao repasse de recurso ao aporte de assistência financeira destinada a auxiliar o custeio da gratuidade das pessoas idosas no transporte público coletivo urbano instituído pela Emenda Constitucional nº 123 de 14 de julho de 2022.</w:t>
            </w:r>
          </w:p>
        </w:tc>
      </w:tr>
      <w:tr w:rsidR="00814F9B" w:rsidRPr="00B9560B" w14:paraId="00C2F286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5DF91ECB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557 - Auxílio Financeiro - Outorga Crédito Tributário ICMS - Art. 5º, Inciso V, EC nº 123/2022 - Recursos Educação</w:t>
            </w: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91F4C68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R$ 5.629,40</w:t>
            </w:r>
          </w:p>
        </w:tc>
      </w:tr>
      <w:tr w:rsidR="00814F9B" w:rsidRPr="00B9560B" w14:paraId="67097E57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51DEAFC2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Refere-se ao repasse de recurso em relação outorga dos créditos tributários do Imposto sobre Circulação de Mercadorias e Serviços (ICMS) a produtores ou distribuidores de etanol hidratado referente ao recurso para Educação</w:t>
            </w:r>
          </w:p>
        </w:tc>
      </w:tr>
      <w:tr w:rsidR="00814F9B" w:rsidRPr="00B9560B" w14:paraId="3DCC36E5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7240C53D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558 - Auxílio Financeiro - Outorga Crédito Tributário ICMS - Art. 5º, Inciso V, EC nº 123/2022 - Recursos Livres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9DBBC1B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R$ 84.441,01</w:t>
            </w:r>
          </w:p>
        </w:tc>
      </w:tr>
      <w:tr w:rsidR="00814F9B" w:rsidRPr="00B9560B" w14:paraId="0BEA0A8F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5E62B5EC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Refere-se ao repasse de recurso em relação outorga dos créditos tributários do Imposto sobre Circulação de Mercadorias e Serviços (ICMS) a produtores ou distribuidores de etanol hidratado referente </w:t>
            </w:r>
            <w:proofErr w:type="gramStart"/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ao recursos livres</w:t>
            </w:r>
            <w:proofErr w:type="gramEnd"/>
          </w:p>
        </w:tc>
      </w:tr>
      <w:tr w:rsidR="00814F9B" w:rsidRPr="00B9560B" w14:paraId="38A61F23" w14:textId="77777777" w:rsidTr="00282B5C">
        <w:trPr>
          <w:trHeight w:val="387"/>
        </w:trPr>
        <w:tc>
          <w:tcPr>
            <w:tcW w:w="7905" w:type="dxa"/>
            <w:shd w:val="clear" w:color="auto" w:fill="auto"/>
            <w:vAlign w:val="center"/>
          </w:tcPr>
          <w:p w14:paraId="2CA3D20A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14" w:right="74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Fonte 948 – SEMAS - Deliberação 15 CEDI-PR - Centro de Convivência.</w:t>
            </w: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3BD850E" w14:textId="77777777" w:rsidR="00814F9B" w:rsidRPr="00B9560B" w:rsidRDefault="00814F9B" w:rsidP="00282B5C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R$ 26.000,00</w:t>
            </w:r>
          </w:p>
        </w:tc>
      </w:tr>
      <w:tr w:rsidR="00814F9B" w:rsidRPr="00B9560B" w14:paraId="5E4BC2A4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58054C44" w14:textId="77777777" w:rsidR="00814F9B" w:rsidRPr="00B9560B" w:rsidRDefault="00814F9B" w:rsidP="00282B5C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Refere-se ao repasse de recursos na modalidade fundo a fundo para a execução de projetos, programas e serviços para o atendimento de pessoas idosas, aprimoramento do controle social e fortalecimento dos Conselhos Municipais dos Direitos da Pessoa Idosa do Estado do Paraná, conforme Lei Federal nº 10.741 de 01 de outubro de 2003 – Estatuto da Pessoa Idosa</w:t>
            </w:r>
          </w:p>
        </w:tc>
      </w:tr>
      <w:tr w:rsidR="00814F9B" w:rsidRPr="00B9560B" w14:paraId="651E905A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1B76E3AC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949 – SEMAS - Deliberação 16 CEDI-PR - Instituições de Longa Permanência-ILP.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090C03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R$ 20.600,00</w:t>
            </w:r>
          </w:p>
        </w:tc>
      </w:tr>
      <w:tr w:rsidR="00814F9B" w:rsidRPr="00B9560B" w14:paraId="42F9399B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6094AE8D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Refere-se ao repasse de recurso na modalidade fundo a fundo exclusivamente para as Instituições de Longa Permanência para Idosos – IPLI sem fins lucrativos, conforme Lei Federal 10.741 de 01 de outubro de 2003 – </w:t>
            </w:r>
            <w:proofErr w:type="spellStart"/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Estatudo</w:t>
            </w:r>
            <w:proofErr w:type="spellEnd"/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 da Pessoa Idosa.</w:t>
            </w:r>
          </w:p>
        </w:tc>
      </w:tr>
      <w:tr w:rsidR="00814F9B" w:rsidRPr="00B9560B" w14:paraId="7B8B681A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6E23B5BD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950 – CEDCA - Deliberação 47/2022 - Apoio e Fortalecimento ao Acompanhamento Intersetorial às Famílias com Gestantes e/ou Crianças de 0 aos 6 anos de idade - Primeira Infância.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B0009F8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R$ 76.000,00</w:t>
            </w:r>
          </w:p>
        </w:tc>
      </w:tr>
      <w:tr w:rsidR="00814F9B" w:rsidRPr="00B9560B" w14:paraId="72C935FC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2E2594C6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Refere-se ao repasse de recurso no formato fundo a fundo, como cofinanciamento ao Apoio e Fortalecimento ao Acompanhamento Intersetorial às Famílias com Gestantes e/ou Crianças de 0 aos 6 anos de idade – Primeira Infância.</w:t>
            </w:r>
          </w:p>
        </w:tc>
      </w:tr>
      <w:tr w:rsidR="00814F9B" w:rsidRPr="00B9560B" w14:paraId="786F9EA8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2C28FE62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000 – recursos Livres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B3B691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R$ 20.000,00 </w:t>
            </w:r>
          </w:p>
        </w:tc>
      </w:tr>
      <w:tr w:rsidR="00814F9B" w:rsidRPr="00B9560B" w14:paraId="79EB8D8F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6D2685E5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Refere-se a recursos Incentivo Atendimento Emergencial para Crianças, Adolescentes ameaçados de morte e suas famílias no Sistema Único de Assistência Social – SUAS e deverá ser aplicado na oferta de benefícios, na modalidade vulnerabilidade temporária, como estratégia </w:t>
            </w:r>
            <w:r w:rsidRPr="00B9560B">
              <w:rPr>
                <w:rFonts w:ascii="Times New Roman" w:hAnsi="Times New Roman" w:cs="Times New Roman"/>
                <w:bCs/>
                <w:sz w:val="24"/>
                <w:szCs w:val="24"/>
              </w:rPr>
              <w:t>de afastar temporariamente a criança ou adolescente do território do seu domicílio</w:t>
            </w:r>
          </w:p>
        </w:tc>
      </w:tr>
      <w:tr w:rsidR="00814F9B" w:rsidRPr="00B9560B" w14:paraId="3D4F80F7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5CA2B264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505 - </w:t>
            </w:r>
            <w:r w:rsidRPr="00B9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Royalties Tratado de Itaipu Binacional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8A28184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</w:tr>
      <w:tr w:rsidR="00814F9B" w:rsidRPr="00B9560B" w14:paraId="3849F817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2E135FAB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Refere-se a recursos Incentivo Atendimento Emergencial para Crianças, Adolescentes ameaçados de morte e suas famílias no Sistema Único de Assistência Social – SUAS e deverá ser aplicado na oferta de benefícios, na modalidade vulnerabilidade temporária, como estratégia </w:t>
            </w:r>
            <w:r w:rsidRPr="00B9560B">
              <w:rPr>
                <w:rFonts w:ascii="Times New Roman" w:hAnsi="Times New Roman" w:cs="Times New Roman"/>
                <w:bCs/>
                <w:sz w:val="24"/>
                <w:szCs w:val="24"/>
              </w:rPr>
              <w:t>de afastar temporariamente a criança ou adolescente do território do seu domicílio</w:t>
            </w:r>
          </w:p>
        </w:tc>
      </w:tr>
      <w:tr w:rsidR="00814F9B" w:rsidRPr="00B9560B" w14:paraId="6DA0FF39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08BF6373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Fonte </w:t>
            </w:r>
            <w:proofErr w:type="gramStart"/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942</w:t>
            </w:r>
            <w:r w:rsidRPr="00B95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B95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Incentivo Atendimento Emergencial para Crianças, Adolescentes ameaçados de morte e suas famílias no SUAS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156E521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R$ 20.000,00</w:t>
            </w:r>
          </w:p>
        </w:tc>
      </w:tr>
      <w:tr w:rsidR="00814F9B" w:rsidRPr="00B9560B" w14:paraId="52DCCFFA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546C1E8C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 xml:space="preserve">Refere-se a recursos Incentivo Atendimento Emergencial para Crianças, Adolescentes ameaçados de morte e suas famílias no Sistema Único de Assistência Social – SUAS e deverá ser aplicado na oferta de benefícios, na modalidade vulnerabilidade temporária, como estratégia </w:t>
            </w:r>
            <w:r w:rsidRPr="00B9560B">
              <w:rPr>
                <w:rFonts w:ascii="Times New Roman" w:hAnsi="Times New Roman" w:cs="Times New Roman"/>
                <w:bCs/>
                <w:sz w:val="24"/>
                <w:szCs w:val="24"/>
              </w:rPr>
              <w:t>de afastar temporariamente a criança ou adolescente do território do seu domicílio</w:t>
            </w:r>
          </w:p>
        </w:tc>
      </w:tr>
      <w:tr w:rsidR="00814F9B" w:rsidRPr="00B9560B" w14:paraId="548AB2C2" w14:textId="77777777" w:rsidTr="00282B5C">
        <w:trPr>
          <w:trHeight w:val="189"/>
        </w:trPr>
        <w:tc>
          <w:tcPr>
            <w:tcW w:w="7905" w:type="dxa"/>
            <w:shd w:val="clear" w:color="auto" w:fill="auto"/>
            <w:vAlign w:val="center"/>
          </w:tcPr>
          <w:p w14:paraId="7C2391F8" w14:textId="77777777" w:rsidR="00814F9B" w:rsidRPr="00B9560B" w:rsidRDefault="00814F9B" w:rsidP="00814F9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10803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A3C35D" w14:textId="77777777" w:rsidR="00814F9B" w:rsidRPr="00B9560B" w:rsidRDefault="00814F9B" w:rsidP="00282B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0B">
              <w:rPr>
                <w:rFonts w:ascii="Times New Roman" w:hAnsi="Times New Roman" w:cs="Times New Roman"/>
                <w:sz w:val="24"/>
                <w:szCs w:val="24"/>
              </w:rPr>
              <w:t>R$ 20.000,00</w:t>
            </w:r>
          </w:p>
        </w:tc>
      </w:tr>
      <w:tr w:rsidR="00814F9B" w:rsidRPr="00B9560B" w14:paraId="4535C3E9" w14:textId="77777777" w:rsidTr="00282B5C">
        <w:tc>
          <w:tcPr>
            <w:tcW w:w="9777" w:type="dxa"/>
            <w:gridSpan w:val="2"/>
            <w:shd w:val="clear" w:color="auto" w:fill="auto"/>
            <w:vAlign w:val="center"/>
          </w:tcPr>
          <w:p w14:paraId="67F88C93" w14:textId="77777777" w:rsidR="00814F9B" w:rsidRPr="00B9560B" w:rsidRDefault="00814F9B" w:rsidP="0028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EB8E9" w14:textId="77777777" w:rsidR="00814F9B" w:rsidRPr="00B9560B" w:rsidRDefault="00814F9B" w:rsidP="003F0E4E">
      <w:pPr>
        <w:pStyle w:val="Corpodetexto21"/>
        <w:ind w:left="0" w:right="-98" w:firstLine="0"/>
        <w:rPr>
          <w:rFonts w:ascii="Times New Roman" w:hAnsi="Times New Roman" w:cs="Times New Roman"/>
          <w:sz w:val="24"/>
        </w:rPr>
      </w:pPr>
    </w:p>
    <w:p w14:paraId="5C5195E7" w14:textId="77777777" w:rsidR="00903D73" w:rsidRPr="00B9560B" w:rsidRDefault="00903D73" w:rsidP="00903D73">
      <w:pPr>
        <w:pStyle w:val="Corpodetexto21"/>
        <w:ind w:left="0" w:right="-98" w:firstLine="0"/>
        <w:rPr>
          <w:rFonts w:ascii="Times New Roman" w:hAnsi="Times New Roman" w:cs="Times New Roman"/>
          <w:sz w:val="24"/>
        </w:rPr>
      </w:pPr>
    </w:p>
    <w:p w14:paraId="2DCFC308" w14:textId="3412A371" w:rsidR="00C0175A" w:rsidRPr="00B9560B" w:rsidRDefault="00CE399E" w:rsidP="00D56D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3 – O parecer jurídico do advogado desta Casa de Leis </w:t>
      </w:r>
      <w:r w:rsidR="00DD344D" w:rsidRPr="00B9560B">
        <w:rPr>
          <w:rFonts w:ascii="Times New Roman" w:hAnsi="Times New Roman" w:cs="Times New Roman"/>
          <w:b/>
          <w:sz w:val="24"/>
          <w:szCs w:val="24"/>
          <w:u w:val="single"/>
        </w:rPr>
        <w:t>foi fav</w:t>
      </w:r>
      <w:r w:rsidR="00505CE8"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orável à tramitação do projeto. </w:t>
      </w:r>
    </w:p>
    <w:p w14:paraId="542D3632" w14:textId="77777777" w:rsidR="00B61F69" w:rsidRPr="00B9560B" w:rsidRDefault="00B61F69" w:rsidP="00343A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20478D" w14:textId="77777777" w:rsidR="00B61F69" w:rsidRPr="00B9560B" w:rsidRDefault="00B61F69" w:rsidP="00343A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0A70B" w14:textId="645EAC69" w:rsidR="00144411" w:rsidRPr="00B9560B" w:rsidRDefault="00144411" w:rsidP="001444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>ANÁLISE PROJETO DE</w:t>
      </w:r>
      <w:r w:rsidR="00814F9B"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RESOLUÇÃO 001</w:t>
      </w: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3F0E4E" w:rsidRPr="00B9560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3F0E4E"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LEGISLATIVO</w:t>
      </w:r>
    </w:p>
    <w:p w14:paraId="6B654FFF" w14:textId="77777777" w:rsidR="00144411" w:rsidRPr="00B9560B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4EE5155" w14:textId="000C5C51" w:rsidR="003F0E4E" w:rsidRPr="00B9560B" w:rsidRDefault="00144411" w:rsidP="003F0E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560B">
        <w:rPr>
          <w:rFonts w:ascii="Times New Roman" w:hAnsi="Times New Roman" w:cs="Times New Roman"/>
          <w:b/>
          <w:sz w:val="26"/>
          <w:szCs w:val="26"/>
        </w:rPr>
        <w:t>1 –</w:t>
      </w:r>
      <w:r w:rsidRPr="00B9560B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B9560B" w:rsidRPr="00B9560B">
        <w:rPr>
          <w:rFonts w:ascii="Times New Roman" w:hAnsi="Times New Roman" w:cs="Times New Roman"/>
          <w:sz w:val="26"/>
          <w:szCs w:val="26"/>
        </w:rPr>
        <w:t>a</w:t>
      </w:r>
      <w:r w:rsidR="00B9560B" w:rsidRPr="00B9560B">
        <w:rPr>
          <w:rFonts w:ascii="Times New Roman" w:hAnsi="Times New Roman" w:cs="Times New Roman"/>
          <w:sz w:val="26"/>
          <w:szCs w:val="26"/>
        </w:rPr>
        <w:t>crescenta</w:t>
      </w:r>
      <w:r w:rsidR="00B9560B" w:rsidRPr="00B9560B">
        <w:rPr>
          <w:rFonts w:ascii="Times New Roman" w:hAnsi="Times New Roman" w:cs="Times New Roman"/>
          <w:sz w:val="26"/>
          <w:szCs w:val="26"/>
        </w:rPr>
        <w:t>r</w:t>
      </w:r>
      <w:r w:rsidR="00B9560B" w:rsidRPr="00B9560B">
        <w:rPr>
          <w:rFonts w:ascii="Times New Roman" w:hAnsi="Times New Roman" w:cs="Times New Roman"/>
          <w:sz w:val="26"/>
          <w:szCs w:val="26"/>
        </w:rPr>
        <w:t xml:space="preserve"> o § 5° ao artigo 73 e o § 3° ao artigo 152; e altera os textos do artigo 79, </w:t>
      </w:r>
      <w:r w:rsidR="00B9560B" w:rsidRPr="00B9560B">
        <w:rPr>
          <w:rFonts w:ascii="Times New Roman" w:hAnsi="Times New Roman" w:cs="Times New Roman"/>
          <w:i/>
          <w:iCs/>
          <w:sz w:val="26"/>
          <w:szCs w:val="26"/>
        </w:rPr>
        <w:t>caput</w:t>
      </w:r>
      <w:r w:rsidR="00B9560B" w:rsidRPr="00B9560B">
        <w:rPr>
          <w:rFonts w:ascii="Times New Roman" w:hAnsi="Times New Roman" w:cs="Times New Roman"/>
          <w:sz w:val="26"/>
          <w:szCs w:val="26"/>
        </w:rPr>
        <w:t xml:space="preserve">; artigo 80, § 1°, alíneas </w:t>
      </w:r>
      <w:r w:rsidR="00B9560B" w:rsidRPr="00B9560B">
        <w:rPr>
          <w:rFonts w:ascii="Times New Roman" w:hAnsi="Times New Roman" w:cs="Times New Roman"/>
          <w:i/>
          <w:iCs/>
          <w:sz w:val="26"/>
          <w:szCs w:val="26"/>
        </w:rPr>
        <w:t xml:space="preserve">a, b, c </w:t>
      </w:r>
      <w:r w:rsidR="00B9560B" w:rsidRPr="00B9560B">
        <w:rPr>
          <w:rFonts w:ascii="Times New Roman" w:hAnsi="Times New Roman" w:cs="Times New Roman"/>
          <w:sz w:val="26"/>
          <w:szCs w:val="26"/>
        </w:rPr>
        <w:t>e</w:t>
      </w:r>
      <w:r w:rsidR="00B9560B" w:rsidRPr="00B9560B">
        <w:rPr>
          <w:rFonts w:ascii="Times New Roman" w:hAnsi="Times New Roman" w:cs="Times New Roman"/>
          <w:i/>
          <w:iCs/>
          <w:sz w:val="26"/>
          <w:szCs w:val="26"/>
        </w:rPr>
        <w:t xml:space="preserve"> d</w:t>
      </w:r>
      <w:r w:rsidR="00B9560B" w:rsidRPr="00B9560B">
        <w:rPr>
          <w:rFonts w:ascii="Times New Roman" w:hAnsi="Times New Roman" w:cs="Times New Roman"/>
          <w:sz w:val="26"/>
          <w:szCs w:val="26"/>
        </w:rPr>
        <w:t xml:space="preserve">; artigo 85, </w:t>
      </w:r>
      <w:r w:rsidR="00B9560B" w:rsidRPr="00B9560B">
        <w:rPr>
          <w:rFonts w:ascii="Times New Roman" w:hAnsi="Times New Roman" w:cs="Times New Roman"/>
          <w:i/>
          <w:iCs/>
          <w:sz w:val="26"/>
          <w:szCs w:val="26"/>
        </w:rPr>
        <w:t>caput</w:t>
      </w:r>
      <w:r w:rsidR="00B9560B" w:rsidRPr="00B9560B">
        <w:rPr>
          <w:rFonts w:ascii="Times New Roman" w:hAnsi="Times New Roman" w:cs="Times New Roman"/>
          <w:sz w:val="26"/>
          <w:szCs w:val="26"/>
        </w:rPr>
        <w:t xml:space="preserve">; artigo 86, </w:t>
      </w:r>
      <w:r w:rsidR="00B9560B" w:rsidRPr="00B9560B">
        <w:rPr>
          <w:rFonts w:ascii="Times New Roman" w:hAnsi="Times New Roman" w:cs="Times New Roman"/>
          <w:i/>
          <w:iCs/>
          <w:sz w:val="26"/>
          <w:szCs w:val="26"/>
        </w:rPr>
        <w:t>caput</w:t>
      </w:r>
      <w:r w:rsidR="00B9560B" w:rsidRPr="00B9560B">
        <w:rPr>
          <w:rFonts w:ascii="Times New Roman" w:hAnsi="Times New Roman" w:cs="Times New Roman"/>
          <w:sz w:val="26"/>
          <w:szCs w:val="26"/>
        </w:rPr>
        <w:t xml:space="preserve">; artigo 115, </w:t>
      </w:r>
      <w:r w:rsidR="00B9560B" w:rsidRPr="00B9560B">
        <w:rPr>
          <w:rFonts w:ascii="Times New Roman" w:hAnsi="Times New Roman" w:cs="Times New Roman"/>
          <w:i/>
          <w:iCs/>
          <w:sz w:val="26"/>
          <w:szCs w:val="26"/>
        </w:rPr>
        <w:t>caput</w:t>
      </w:r>
      <w:r w:rsidR="00B9560B" w:rsidRPr="00B9560B">
        <w:rPr>
          <w:rFonts w:ascii="Times New Roman" w:hAnsi="Times New Roman" w:cs="Times New Roman"/>
          <w:sz w:val="26"/>
          <w:szCs w:val="26"/>
        </w:rPr>
        <w:t xml:space="preserve">; e artigo 254, </w:t>
      </w:r>
      <w:r w:rsidR="00B9560B" w:rsidRPr="00B9560B">
        <w:rPr>
          <w:rFonts w:ascii="Times New Roman" w:hAnsi="Times New Roman" w:cs="Times New Roman"/>
          <w:i/>
          <w:iCs/>
          <w:sz w:val="26"/>
          <w:szCs w:val="26"/>
        </w:rPr>
        <w:t>caput</w:t>
      </w:r>
      <w:r w:rsidR="00B9560B" w:rsidRPr="00B9560B">
        <w:rPr>
          <w:rFonts w:ascii="Times New Roman" w:hAnsi="Times New Roman" w:cs="Times New Roman"/>
          <w:sz w:val="26"/>
          <w:szCs w:val="26"/>
        </w:rPr>
        <w:t>; todos do Regimento Interno da Câmara Municipal de Guaíra, Estado do Paraná, e dá outras providências</w:t>
      </w:r>
    </w:p>
    <w:p w14:paraId="28BAE558" w14:textId="65B2E0F3" w:rsidR="00144411" w:rsidRPr="00B9560B" w:rsidRDefault="00144411" w:rsidP="00144411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14:paraId="23C2BF16" w14:textId="574BC6BA" w:rsidR="00B9560B" w:rsidRPr="00B9560B" w:rsidRDefault="00144411" w:rsidP="00B9560B">
      <w:pPr>
        <w:pStyle w:val="Default"/>
        <w:spacing w:line="276" w:lineRule="auto"/>
        <w:jc w:val="both"/>
        <w:rPr>
          <w:color w:val="auto"/>
        </w:rPr>
      </w:pPr>
      <w:r w:rsidRPr="00B9560B">
        <w:rPr>
          <w:b/>
        </w:rPr>
        <w:t>2 –</w:t>
      </w:r>
      <w:r w:rsidRPr="00B9560B">
        <w:t xml:space="preserve"> A justificativa do projeto d</w:t>
      </w:r>
      <w:r w:rsidR="00B9560B" w:rsidRPr="00B9560B">
        <w:t>e resolução</w:t>
      </w:r>
      <w:r w:rsidR="003F0E4E" w:rsidRPr="00B9560B">
        <w:t xml:space="preserve"> explica que</w:t>
      </w:r>
      <w:r w:rsidR="00B9560B" w:rsidRPr="00B9560B">
        <w:t xml:space="preserve"> o objetivo é </w:t>
      </w:r>
      <w:r w:rsidR="00B9560B" w:rsidRPr="00B9560B">
        <w:rPr>
          <w:color w:val="auto"/>
        </w:rPr>
        <w:t>alterar alguns artigos do Regimento Interno desta Casa de Leis, alterando, especialmente, o horário das sessões ordinárias para 17h00, possibilitando maior participação popular nas sessões plenárias.</w:t>
      </w:r>
      <w:r w:rsidR="00B9560B" w:rsidRPr="00B9560B">
        <w:rPr>
          <w:color w:val="auto"/>
        </w:rPr>
        <w:t xml:space="preserve"> </w:t>
      </w:r>
      <w:r w:rsidR="00B9560B" w:rsidRPr="00B9560B">
        <w:rPr>
          <w:color w:val="auto"/>
        </w:rPr>
        <w:t>Ainda, se faz necessário modificação nos artigos referentes as reuniões das comissões permanentes para melhor desenvolver as atividades a elas inerentes, dentro da normativa que rege as regras internas deste Poder Legislativo.</w:t>
      </w:r>
      <w:r w:rsidR="008B1CED">
        <w:rPr>
          <w:color w:val="auto"/>
        </w:rPr>
        <w:t xml:space="preserve"> </w:t>
      </w:r>
      <w:r w:rsidR="00B9560B" w:rsidRPr="00B9560B">
        <w:rPr>
          <w:color w:val="auto"/>
        </w:rPr>
        <w:t>Referidas alterações entram em vigor a partir da publicação, pois trata-se de proposição necessária para o bom andamento dos trabalhos da Câmara Municipal de Guaíra.</w:t>
      </w:r>
    </w:p>
    <w:p w14:paraId="24FD369D" w14:textId="01296758" w:rsidR="00144411" w:rsidRPr="00B9560B" w:rsidRDefault="00144411" w:rsidP="003F0E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4F01E" w14:textId="77777777" w:rsidR="00144411" w:rsidRPr="00B9560B" w:rsidRDefault="00144411" w:rsidP="00144411">
      <w:pPr>
        <w:pStyle w:val="Corpodetexto21"/>
        <w:ind w:left="0" w:right="-98" w:firstLine="0"/>
        <w:rPr>
          <w:rFonts w:ascii="Times New Roman" w:hAnsi="Times New Roman" w:cs="Times New Roman"/>
          <w:sz w:val="24"/>
        </w:rPr>
      </w:pPr>
    </w:p>
    <w:p w14:paraId="211C6287" w14:textId="77777777" w:rsidR="00144411" w:rsidRPr="00B9560B" w:rsidRDefault="00144411" w:rsidP="001444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3 – O parecer jurídico do advogado desta Casa de Leis foi favorável à tramitação do projeto. </w:t>
      </w:r>
    </w:p>
    <w:p w14:paraId="1EFAC004" w14:textId="77777777" w:rsidR="00144411" w:rsidRPr="00B9560B" w:rsidRDefault="00144411" w:rsidP="001444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F2E9D6" w14:textId="77777777" w:rsidR="00144411" w:rsidRPr="00B9560B" w:rsidRDefault="00144411" w:rsidP="001444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0C865" w14:textId="58FDB845" w:rsidR="00814F9B" w:rsidRPr="00B9560B" w:rsidRDefault="00814F9B" w:rsidP="00814F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>ANÁLISE DO VETO INTEGRALAO PROJETO DE LEI N°</w:t>
      </w: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060</w:t>
      </w: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>/2022 - LEGISLATIVO</w:t>
      </w:r>
    </w:p>
    <w:p w14:paraId="22A4A030" w14:textId="77777777" w:rsidR="00814F9B" w:rsidRPr="00B9560B" w:rsidRDefault="00814F9B" w:rsidP="00814F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20E95" w14:textId="2EDFF3EE" w:rsidR="00814F9B" w:rsidRPr="00B9560B" w:rsidRDefault="00814F9B" w:rsidP="00814F9B">
      <w:pPr>
        <w:jc w:val="both"/>
        <w:rPr>
          <w:rFonts w:ascii="Times New Roman" w:hAnsi="Times New Roman" w:cs="Times New Roman"/>
          <w:sz w:val="24"/>
          <w:szCs w:val="24"/>
        </w:rPr>
      </w:pPr>
      <w:r w:rsidRPr="00B9560B">
        <w:rPr>
          <w:rFonts w:ascii="Times New Roman" w:hAnsi="Times New Roman" w:cs="Times New Roman"/>
          <w:b/>
          <w:sz w:val="24"/>
          <w:szCs w:val="24"/>
        </w:rPr>
        <w:t>1 –</w:t>
      </w:r>
      <w:r w:rsidRPr="00B9560B">
        <w:rPr>
          <w:rFonts w:ascii="Times New Roman" w:hAnsi="Times New Roman" w:cs="Times New Roman"/>
          <w:sz w:val="24"/>
          <w:szCs w:val="24"/>
        </w:rPr>
        <w:t xml:space="preserve"> A mensagem tem a finalidade de vetar integralmente o Projeto de Lei</w:t>
      </w:r>
      <w:r w:rsidRPr="00B9560B">
        <w:rPr>
          <w:rFonts w:ascii="Times New Roman" w:hAnsi="Times New Roman" w:cs="Times New Roman"/>
          <w:sz w:val="24"/>
          <w:szCs w:val="24"/>
        </w:rPr>
        <w:t xml:space="preserve"> N° 060</w:t>
      </w:r>
      <w:r w:rsidRPr="00B9560B">
        <w:rPr>
          <w:rFonts w:ascii="Times New Roman" w:hAnsi="Times New Roman" w:cs="Times New Roman"/>
          <w:sz w:val="24"/>
          <w:szCs w:val="24"/>
        </w:rPr>
        <w:t>/2022, de autoria do Legislativo Municipal.</w:t>
      </w:r>
    </w:p>
    <w:p w14:paraId="04162600" w14:textId="77777777" w:rsidR="00814F9B" w:rsidRPr="00B9560B" w:rsidRDefault="00814F9B" w:rsidP="00814F9B">
      <w:pPr>
        <w:pStyle w:val="Corpodetexto21"/>
        <w:ind w:left="0" w:right="-98" w:firstLine="0"/>
        <w:rPr>
          <w:rFonts w:ascii="Times New Roman" w:hAnsi="Times New Roman" w:cs="Times New Roman"/>
          <w:b/>
          <w:sz w:val="24"/>
        </w:rPr>
      </w:pPr>
    </w:p>
    <w:p w14:paraId="31D8AA95" w14:textId="0243E058" w:rsidR="00B9560B" w:rsidRPr="00B9560B" w:rsidRDefault="00814F9B" w:rsidP="00B9560B">
      <w:pPr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60B">
        <w:rPr>
          <w:rFonts w:ascii="Times New Roman" w:hAnsi="Times New Roman" w:cs="Times New Roman"/>
          <w:b/>
          <w:sz w:val="24"/>
          <w:szCs w:val="24"/>
        </w:rPr>
        <w:t>2 –</w:t>
      </w:r>
      <w:r w:rsidRPr="00B9560B">
        <w:rPr>
          <w:rFonts w:ascii="Times New Roman" w:hAnsi="Times New Roman" w:cs="Times New Roman"/>
          <w:sz w:val="24"/>
          <w:szCs w:val="24"/>
        </w:rPr>
        <w:t xml:space="preserve"> A justificativa do veto explica que </w:t>
      </w:r>
      <w:r w:rsidR="00B9560B" w:rsidRPr="00B9560B">
        <w:rPr>
          <w:rFonts w:ascii="Times New Roman" w:hAnsi="Times New Roman" w:cs="Times New Roman"/>
          <w:bCs/>
          <w:sz w:val="24"/>
          <w:szCs w:val="24"/>
        </w:rPr>
        <w:t>d</w:t>
      </w:r>
      <w:r w:rsidR="00B9560B" w:rsidRPr="00B9560B">
        <w:rPr>
          <w:rFonts w:ascii="Times New Roman" w:hAnsi="Times New Roman" w:cs="Times New Roman"/>
          <w:bCs/>
          <w:sz w:val="24"/>
          <w:szCs w:val="24"/>
        </w:rPr>
        <w:t xml:space="preserve">a análise inicial, observa-se que o Projeto de Lei em comento, ao atribuir competências aos órgãos da administração pública, uma vez que cria, de tal forma, a necessidade de reestruturação de serviços e de pessoal, assim como das prerrogativas de Secretarias e de servidores, imiscui-se na organização administrativa do Poder Executivo, violando o princípio constitucional da separação dos poderes, uma </w:t>
      </w:r>
      <w:r w:rsidR="00B9560B" w:rsidRPr="00B9560B">
        <w:rPr>
          <w:rFonts w:ascii="Times New Roman" w:hAnsi="Times New Roman" w:cs="Times New Roman"/>
          <w:bCs/>
          <w:sz w:val="24"/>
          <w:szCs w:val="24"/>
        </w:rPr>
        <w:lastRenderedPageBreak/>
        <w:t>vez que confronta a competência privativa do Poder Executivo, conforme disposto no art. 50 e 77 da Lei Orgânica Municipal</w:t>
      </w:r>
      <w:r w:rsidR="00B9560B" w:rsidRPr="00B956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560B" w:rsidRPr="00B9560B">
        <w:rPr>
          <w:rFonts w:ascii="Times New Roman" w:hAnsi="Times New Roman" w:cs="Times New Roman"/>
          <w:bCs/>
          <w:sz w:val="24"/>
          <w:szCs w:val="24"/>
        </w:rPr>
        <w:t>A atribuição típica e predominante da Câmara é a ‘normativa’, isto é, a de regular a administração do Município e a conduta dos munícipes, no que afeta aos interesses locais. A Câmara não administra o Município; estabelece, apenas, normas de administração. Não executa obras e serviços públicos; dispõe, unicamente, sobre a sua execução. Não compõe nem dirige o funcionalismo da Prefeitura; edita, tão somente, preceitos para sua organização e direção. Não arrecada nem aplica as rendas locais; apenas institui ou altera tributos e autoriza sua arrecadação e aplicação. Não governa o Município; mas regula e controla a atuação governamental do Executivo, personalizado no Prefeito.</w:t>
      </w:r>
      <w:r w:rsidR="00B9560B" w:rsidRPr="00B95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60B" w:rsidRPr="00B9560B">
        <w:rPr>
          <w:rFonts w:ascii="Times New Roman" w:hAnsi="Times New Roman" w:cs="Times New Roman"/>
          <w:bCs/>
          <w:sz w:val="24"/>
          <w:szCs w:val="24"/>
        </w:rPr>
        <w:t>Ocorre que, ao dispor sobre a obrigatoriedade da administração pública na identificação eletrônica, por meio de microchip, em cães e gatos domésticos, no âmbito desta Municipalidade, a iniciativa desta Casa de Leis impõe uma tomada de ações que trarão, por sua consequência, a criação de atribuições para a Secretaria responsável pela sua administração, tal como cria prerrogativas para servidores municipais, com o que interfere na área de atuação exclusiva do Chefe do Poder Executivo e, dessa forma, viola o princípio da harmonia e independência entre os referidos poderes, garantidos em nossa Carta Magna</w:t>
      </w:r>
    </w:p>
    <w:p w14:paraId="3B808E54" w14:textId="77777777" w:rsidR="00814F9B" w:rsidRPr="00B9560B" w:rsidRDefault="00814F9B" w:rsidP="00814F9B">
      <w:pPr>
        <w:pStyle w:val="Default"/>
        <w:spacing w:line="276" w:lineRule="auto"/>
        <w:jc w:val="both"/>
        <w:rPr>
          <w:color w:val="auto"/>
        </w:rPr>
      </w:pPr>
    </w:p>
    <w:p w14:paraId="4487371B" w14:textId="61DAC7EA" w:rsidR="00814F9B" w:rsidRPr="00B9560B" w:rsidRDefault="00814F9B" w:rsidP="00814F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>3 – O parecer jurídico do advogado desta Casa de Leis explica que não cabe a ele a análise jurídica, pelo que se refere exclusivamente ao mérito do projeto e, explica ainda que cabe ao Poder Legislativo neste momento a decisão de se manter ou rejeitar o veto</w:t>
      </w:r>
      <w:r w:rsidRPr="00B956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2C282B5" w14:textId="1259CFF1" w:rsidR="00CE423C" w:rsidRPr="00B9560B" w:rsidRDefault="00CE423C" w:rsidP="00814F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E423C" w:rsidRPr="00B95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5311" w14:textId="77777777" w:rsidR="00605AD2" w:rsidRDefault="00605AD2" w:rsidP="00CE399E">
      <w:pPr>
        <w:spacing w:after="0" w:line="240" w:lineRule="auto"/>
      </w:pPr>
      <w:r>
        <w:separator/>
      </w:r>
    </w:p>
  </w:endnote>
  <w:endnote w:type="continuationSeparator" w:id="0">
    <w:p w14:paraId="213EA42F" w14:textId="77777777" w:rsidR="00605AD2" w:rsidRDefault="00605AD2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6F90" w14:textId="77777777" w:rsidR="00605AD2" w:rsidRDefault="00605AD2" w:rsidP="00CE399E">
      <w:pPr>
        <w:spacing w:after="0" w:line="240" w:lineRule="auto"/>
      </w:pPr>
      <w:r>
        <w:separator/>
      </w:r>
    </w:p>
  </w:footnote>
  <w:footnote w:type="continuationSeparator" w:id="0">
    <w:p w14:paraId="772AFCD3" w14:textId="77777777" w:rsidR="00605AD2" w:rsidRDefault="00605AD2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6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60"/>
    <w:rsid w:val="00011A14"/>
    <w:rsid w:val="000212A2"/>
    <w:rsid w:val="00031FBB"/>
    <w:rsid w:val="000A5764"/>
    <w:rsid w:val="00144411"/>
    <w:rsid w:val="001638E0"/>
    <w:rsid w:val="001745F7"/>
    <w:rsid w:val="0019703F"/>
    <w:rsid w:val="001C7E64"/>
    <w:rsid w:val="00215EF0"/>
    <w:rsid w:val="00254557"/>
    <w:rsid w:val="00254CFB"/>
    <w:rsid w:val="002827C3"/>
    <w:rsid w:val="00293E3D"/>
    <w:rsid w:val="00294EEB"/>
    <w:rsid w:val="002A26D5"/>
    <w:rsid w:val="002F0033"/>
    <w:rsid w:val="002F7CAB"/>
    <w:rsid w:val="003067C3"/>
    <w:rsid w:val="003125FD"/>
    <w:rsid w:val="00327930"/>
    <w:rsid w:val="00343A2E"/>
    <w:rsid w:val="003F0E4E"/>
    <w:rsid w:val="00432435"/>
    <w:rsid w:val="004A6B60"/>
    <w:rsid w:val="004B0636"/>
    <w:rsid w:val="00505CE8"/>
    <w:rsid w:val="005B4ED5"/>
    <w:rsid w:val="005C7099"/>
    <w:rsid w:val="005C7913"/>
    <w:rsid w:val="005E711B"/>
    <w:rsid w:val="00600033"/>
    <w:rsid w:val="0060156E"/>
    <w:rsid w:val="00605AD2"/>
    <w:rsid w:val="00650323"/>
    <w:rsid w:val="00651828"/>
    <w:rsid w:val="006538EC"/>
    <w:rsid w:val="006B4C8D"/>
    <w:rsid w:val="006C69A1"/>
    <w:rsid w:val="00700F48"/>
    <w:rsid w:val="007907F7"/>
    <w:rsid w:val="007B01E7"/>
    <w:rsid w:val="007F5B9C"/>
    <w:rsid w:val="00804B27"/>
    <w:rsid w:val="00814F9B"/>
    <w:rsid w:val="0086129D"/>
    <w:rsid w:val="00862483"/>
    <w:rsid w:val="0086640C"/>
    <w:rsid w:val="008B1CED"/>
    <w:rsid w:val="008E1A3B"/>
    <w:rsid w:val="00900F34"/>
    <w:rsid w:val="00903D73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61F69"/>
    <w:rsid w:val="00B81948"/>
    <w:rsid w:val="00B9560B"/>
    <w:rsid w:val="00BE2FB7"/>
    <w:rsid w:val="00C0175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96247"/>
    <w:rsid w:val="00DA1FED"/>
    <w:rsid w:val="00DD2D75"/>
    <w:rsid w:val="00DD344D"/>
    <w:rsid w:val="00DD64D9"/>
    <w:rsid w:val="00E01824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D981"/>
  <w15:docId w15:val="{780F1693-CB86-45EC-B2E7-F2B0D0B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814F9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2z0">
    <w:name w:val="WW8Num2z0"/>
    <w:rsid w:val="00B956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2023-02-09T11:46:00Z</cp:lastPrinted>
  <dcterms:created xsi:type="dcterms:W3CDTF">2023-02-09T11:48:00Z</dcterms:created>
  <dcterms:modified xsi:type="dcterms:W3CDTF">2023-02-09T11:48:00Z</dcterms:modified>
</cp:coreProperties>
</file>